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0A69672C" w:rsidR="008F4AEA" w:rsidRPr="0017695A" w:rsidRDefault="00D76CEE" w:rsidP="008F4AEA">
          <w:pPr>
            <w:pStyle w:val="Titul2"/>
          </w:pPr>
          <w:r w:rsidRPr="00D76CEE">
            <w:rPr>
              <w:rStyle w:val="Nzevakce"/>
              <w:b/>
            </w:rPr>
            <w:t xml:space="preserve">„Modernizace trati Veselí n. L. – Tábor – II. část, úsek Veselí n. L. – Doubí u Tábora, 2. etapa Soběslav – Doubí – zvýšení rychlosti nad 160 km/hod. do max. 200 km/hod.“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Pr="00D76CEE" w:rsidRDefault="00C96E7C" w:rsidP="005B7883">
      <w:pPr>
        <w:pStyle w:val="Nadpisbezsl1-2"/>
      </w:pPr>
      <w:r w:rsidRPr="00D76CEE">
        <w:t>1.1.2.2  Název</w:t>
      </w:r>
      <w:r w:rsidR="00582C15" w:rsidRPr="00D76CEE">
        <w:t xml:space="preserve"> a </w:t>
      </w:r>
      <w:r w:rsidRPr="00D76CEE">
        <w:t>adresa Objednatele</w:t>
      </w:r>
    </w:p>
    <w:p w14:paraId="79F12429" w14:textId="77777777" w:rsidR="00C96E7C" w:rsidRPr="00D76CEE" w:rsidRDefault="00C96E7C" w:rsidP="00C732F0">
      <w:pPr>
        <w:pStyle w:val="Bezmezer"/>
        <w:jc w:val="both"/>
        <w:rPr>
          <w:b/>
          <w:sz w:val="18"/>
          <w:szCs w:val="18"/>
        </w:rPr>
      </w:pPr>
      <w:r w:rsidRPr="00D76CEE">
        <w:rPr>
          <w:b/>
          <w:sz w:val="18"/>
          <w:szCs w:val="18"/>
        </w:rPr>
        <w:t>Správa</w:t>
      </w:r>
      <w:r w:rsidR="008842C9" w:rsidRPr="00D76CEE">
        <w:rPr>
          <w:b/>
          <w:sz w:val="18"/>
          <w:szCs w:val="18"/>
        </w:rPr>
        <w:t xml:space="preserve"> železnic</w:t>
      </w:r>
      <w:r w:rsidRPr="00D76CEE">
        <w:rPr>
          <w:b/>
          <w:sz w:val="18"/>
          <w:szCs w:val="18"/>
        </w:rPr>
        <w:t>, státní organizace</w:t>
      </w:r>
    </w:p>
    <w:p w14:paraId="3305271D" w14:textId="77777777" w:rsidR="00C96E7C" w:rsidRPr="00D76CEE" w:rsidRDefault="00C96E7C" w:rsidP="00C732F0">
      <w:pPr>
        <w:pStyle w:val="Bezmezer"/>
        <w:jc w:val="both"/>
        <w:rPr>
          <w:sz w:val="18"/>
          <w:szCs w:val="18"/>
        </w:rPr>
      </w:pPr>
      <w:r w:rsidRPr="00D76CEE">
        <w:rPr>
          <w:sz w:val="18"/>
          <w:szCs w:val="18"/>
        </w:rPr>
        <w:t xml:space="preserve">se sídlem: Dlážděná 1003/7, 110 00 Praha 1 - Nové Město </w:t>
      </w:r>
    </w:p>
    <w:p w14:paraId="67BA64DD" w14:textId="77777777" w:rsidR="00C96E7C" w:rsidRPr="00D76CEE" w:rsidRDefault="00C96E7C" w:rsidP="00C732F0">
      <w:pPr>
        <w:pStyle w:val="Bezmezer"/>
        <w:jc w:val="both"/>
        <w:rPr>
          <w:sz w:val="18"/>
          <w:szCs w:val="18"/>
        </w:rPr>
      </w:pPr>
      <w:r w:rsidRPr="00D76CEE">
        <w:rPr>
          <w:sz w:val="18"/>
          <w:szCs w:val="18"/>
        </w:rPr>
        <w:t>IČO: 70994234 DIČ: CZ70994234</w:t>
      </w:r>
    </w:p>
    <w:p w14:paraId="74BC709D" w14:textId="77777777" w:rsidR="00C96E7C" w:rsidRPr="00D76CEE" w:rsidRDefault="00C96E7C" w:rsidP="00C732F0">
      <w:pPr>
        <w:pStyle w:val="Bezmezer"/>
        <w:jc w:val="both"/>
        <w:rPr>
          <w:sz w:val="18"/>
          <w:szCs w:val="18"/>
        </w:rPr>
      </w:pPr>
      <w:r w:rsidRPr="00D76CEE">
        <w:rPr>
          <w:sz w:val="18"/>
          <w:szCs w:val="18"/>
        </w:rPr>
        <w:t>zapsaná</w:t>
      </w:r>
      <w:r w:rsidR="00582C15" w:rsidRPr="00D76CEE">
        <w:rPr>
          <w:sz w:val="18"/>
          <w:szCs w:val="18"/>
        </w:rPr>
        <w:t xml:space="preserve"> v </w:t>
      </w:r>
      <w:r w:rsidRPr="00D76CEE">
        <w:rPr>
          <w:sz w:val="18"/>
          <w:szCs w:val="18"/>
        </w:rPr>
        <w:t>obchodním rejstříku vedeném Městským soudem</w:t>
      </w:r>
      <w:r w:rsidR="00582C15" w:rsidRPr="00D76CEE">
        <w:rPr>
          <w:sz w:val="18"/>
          <w:szCs w:val="18"/>
        </w:rPr>
        <w:t xml:space="preserve"> v </w:t>
      </w:r>
      <w:r w:rsidRPr="00D76CEE">
        <w:rPr>
          <w:sz w:val="18"/>
          <w:szCs w:val="18"/>
        </w:rPr>
        <w:t>Praze,</w:t>
      </w:r>
    </w:p>
    <w:p w14:paraId="7C391A50" w14:textId="77777777" w:rsidR="00C96E7C" w:rsidRPr="00D76CEE" w:rsidRDefault="00C96E7C" w:rsidP="00C732F0">
      <w:pPr>
        <w:pStyle w:val="Bezmezer"/>
        <w:jc w:val="both"/>
        <w:rPr>
          <w:sz w:val="18"/>
          <w:szCs w:val="18"/>
        </w:rPr>
      </w:pPr>
      <w:r w:rsidRPr="00D76CEE">
        <w:rPr>
          <w:sz w:val="18"/>
          <w:szCs w:val="18"/>
        </w:rPr>
        <w:t>spisová značka A 48384</w:t>
      </w:r>
    </w:p>
    <w:p w14:paraId="35B362D4" w14:textId="77777777" w:rsidR="00C96E7C" w:rsidRPr="00D76CEE" w:rsidRDefault="00C96E7C" w:rsidP="005B7883">
      <w:pPr>
        <w:pStyle w:val="Nadpisbezsl1-2"/>
      </w:pPr>
      <w:r w:rsidRPr="00D76CEE">
        <w:t>1.1.2.3  Název</w:t>
      </w:r>
      <w:r w:rsidR="00582C15" w:rsidRPr="00D76CEE">
        <w:t xml:space="preserve"> a </w:t>
      </w:r>
      <w:r w:rsidRPr="00D76CEE">
        <w:t>adresa Zhotovitele</w:t>
      </w:r>
    </w:p>
    <w:p w14:paraId="3DE32AEB" w14:textId="77777777" w:rsidR="00C96E7C" w:rsidRPr="00D76CEE" w:rsidRDefault="00C96E7C" w:rsidP="005B7883">
      <w:pPr>
        <w:pStyle w:val="Textbezodsazen"/>
      </w:pPr>
      <w:r w:rsidRPr="00D76CEE">
        <w:rPr>
          <w:highlight w:val="yellow"/>
        </w:rPr>
        <w:t>VLOŽÍ ZHOTOVITEL</w:t>
      </w:r>
    </w:p>
    <w:p w14:paraId="4EF25349" w14:textId="77777777" w:rsidR="00C96E7C" w:rsidRPr="00D76CEE" w:rsidRDefault="00C96E7C" w:rsidP="005B7883">
      <w:pPr>
        <w:pStyle w:val="Nadpisbezsl1-2"/>
      </w:pPr>
      <w:r w:rsidRPr="00D76CEE">
        <w:t>1.1.2.4  Jméno (název)</w:t>
      </w:r>
      <w:r w:rsidR="00582C15" w:rsidRPr="00D76CEE">
        <w:t xml:space="preserve"> a </w:t>
      </w:r>
      <w:r w:rsidRPr="00D76CEE">
        <w:t>adresa Správce stavby</w:t>
      </w:r>
    </w:p>
    <w:p w14:paraId="0C2A07AF"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Bohumil Uhlíř</w:t>
      </w:r>
    </w:p>
    <w:p w14:paraId="43758756"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Správa železnic, státní organizace</w:t>
      </w:r>
    </w:p>
    <w:p w14:paraId="0ED5C204"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Stavební správa západ</w:t>
      </w:r>
    </w:p>
    <w:p w14:paraId="3980C9C7"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Sokolovská 1955/278, 190 00 Praha 9</w:t>
      </w:r>
    </w:p>
    <w:p w14:paraId="1CC9A539" w14:textId="77777777" w:rsidR="00D76CEE" w:rsidRPr="00D76CEE" w:rsidRDefault="00D76CEE" w:rsidP="00D76CEE">
      <w:pPr>
        <w:pStyle w:val="Plnab0"/>
        <w:spacing w:after="0"/>
        <w:rPr>
          <w:rFonts w:asciiTheme="minorHAnsi" w:hAnsiTheme="minorHAnsi"/>
          <w:sz w:val="18"/>
          <w:szCs w:val="18"/>
        </w:rPr>
      </w:pPr>
    </w:p>
    <w:p w14:paraId="7ED42B95" w14:textId="77777777" w:rsidR="00D76CEE" w:rsidRPr="00D76CEE" w:rsidRDefault="00D76CEE" w:rsidP="00D76CEE">
      <w:pPr>
        <w:pStyle w:val="Plnab0"/>
        <w:spacing w:after="0"/>
        <w:rPr>
          <w:rFonts w:asciiTheme="minorHAnsi" w:hAnsiTheme="minorHAnsi"/>
          <w:sz w:val="18"/>
          <w:szCs w:val="18"/>
        </w:rPr>
      </w:pPr>
      <w:r w:rsidRPr="00D76CEE">
        <w:rPr>
          <w:rFonts w:asciiTheme="minorHAnsi" w:hAnsiTheme="minorHAnsi"/>
          <w:sz w:val="18"/>
          <w:szCs w:val="18"/>
        </w:rPr>
        <w:t xml:space="preserve">Pracoviště: </w:t>
      </w:r>
    </w:p>
    <w:p w14:paraId="2C98F5F5" w14:textId="77777777" w:rsidR="00D76CEE" w:rsidRPr="00D76CEE" w:rsidRDefault="00D76CEE" w:rsidP="00D76CEE">
      <w:pPr>
        <w:spacing w:after="0"/>
        <w:jc w:val="both"/>
        <w:rPr>
          <w:rFonts w:asciiTheme="minorHAnsi" w:hAnsiTheme="minorHAnsi"/>
          <w:sz w:val="18"/>
          <w:szCs w:val="18"/>
        </w:rPr>
      </w:pPr>
      <w:r w:rsidRPr="00D76CEE">
        <w:rPr>
          <w:rFonts w:asciiTheme="minorHAnsi" w:hAnsiTheme="minorHAnsi"/>
          <w:sz w:val="18"/>
          <w:szCs w:val="18"/>
        </w:rPr>
        <w:t>Pod Rafandou 882, Veselí nad Lužnicí 391 81</w:t>
      </w:r>
    </w:p>
    <w:p w14:paraId="0320712E" w14:textId="77777777" w:rsidR="00D76CEE" w:rsidRPr="00D76CEE" w:rsidRDefault="00D76CEE" w:rsidP="00D76CEE">
      <w:pPr>
        <w:spacing w:after="0"/>
        <w:jc w:val="both"/>
        <w:rPr>
          <w:rFonts w:asciiTheme="minorHAnsi" w:hAnsiTheme="minorHAnsi"/>
          <w:sz w:val="18"/>
          <w:szCs w:val="18"/>
          <w:u w:val="single"/>
        </w:rPr>
      </w:pPr>
      <w:r w:rsidRPr="00D76CEE">
        <w:rPr>
          <w:rFonts w:asciiTheme="minorHAnsi" w:hAnsiTheme="minorHAnsi"/>
          <w:sz w:val="18"/>
          <w:szCs w:val="18"/>
        </w:rPr>
        <w:t>tel. 972 552 116, mobil 606 655 966, e-mail: UhlirBo@spravazeleznic.cz</w:t>
      </w:r>
    </w:p>
    <w:p w14:paraId="4B172A2A" w14:textId="64EF0A63" w:rsidR="00C96E7C" w:rsidRPr="00D76CEE" w:rsidRDefault="00C96E7C" w:rsidP="005B7883">
      <w:pPr>
        <w:pStyle w:val="Nadpisbezsl1-2"/>
      </w:pPr>
      <w:r w:rsidRPr="00D76CEE">
        <w:t>1.1.3.7  Záruční doba</w:t>
      </w:r>
    </w:p>
    <w:p w14:paraId="52B95BDB" w14:textId="77777777" w:rsidR="00C96E7C" w:rsidRPr="00D76CEE" w:rsidRDefault="00C96E7C" w:rsidP="00C732F0">
      <w:pPr>
        <w:pStyle w:val="Bezmezer"/>
        <w:jc w:val="both"/>
        <w:rPr>
          <w:sz w:val="18"/>
          <w:szCs w:val="18"/>
        </w:rPr>
      </w:pPr>
      <w:r w:rsidRPr="00D76CEE">
        <w:rPr>
          <w:sz w:val="18"/>
          <w:szCs w:val="18"/>
        </w:rPr>
        <w:t>Záruční doba je specifikována</w:t>
      </w:r>
      <w:r w:rsidR="00582C15" w:rsidRPr="00D76CEE">
        <w:rPr>
          <w:sz w:val="18"/>
          <w:szCs w:val="18"/>
        </w:rPr>
        <w:t xml:space="preserve"> v </w:t>
      </w:r>
      <w:r w:rsidRPr="00D76CEE">
        <w:rPr>
          <w:sz w:val="18"/>
          <w:szCs w:val="18"/>
        </w:rPr>
        <w:t>pod-článku 11.1</w:t>
      </w:r>
      <w:r w:rsidR="00582C15" w:rsidRPr="00D76CEE">
        <w:rPr>
          <w:sz w:val="18"/>
          <w:szCs w:val="18"/>
        </w:rPr>
        <w:t xml:space="preserve"> a v </w:t>
      </w:r>
      <w:r w:rsidRPr="00D76CEE">
        <w:rPr>
          <w:sz w:val="18"/>
          <w:szCs w:val="18"/>
        </w:rPr>
        <w:t>Technické specifikaci.</w:t>
      </w:r>
    </w:p>
    <w:p w14:paraId="2C05CF27" w14:textId="77777777" w:rsidR="00C96E7C" w:rsidRPr="00D76CEE" w:rsidRDefault="00C96E7C" w:rsidP="005B7883">
      <w:pPr>
        <w:pStyle w:val="Nadpisbezsl1-2"/>
      </w:pPr>
      <w:r w:rsidRPr="00D76CEE">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w:t>
      </w:r>
      <w:r w:rsidR="00582C15">
        <w:lastRenderedPageBreak/>
        <w:t>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1ED417AB" w:rsidR="00C96E7C" w:rsidRDefault="00C96E7C" w:rsidP="005B7883">
      <w:pPr>
        <w:pStyle w:val="Nadpisbezsl1-2"/>
      </w:pPr>
      <w:r>
        <w:t xml:space="preserve">1.1.5.6  Definice sekcí </w:t>
      </w:r>
    </w:p>
    <w:p w14:paraId="499CBAE3" w14:textId="77777777" w:rsidR="00621CFC" w:rsidRPr="00621CFC" w:rsidRDefault="00621CFC" w:rsidP="00621CFC">
      <w:pPr>
        <w:pStyle w:val="Text2-1"/>
        <w:numPr>
          <w:ilvl w:val="0"/>
          <w:numId w:val="0"/>
        </w:numPr>
        <w:ind w:left="737"/>
      </w:pPr>
    </w:p>
    <w:tbl>
      <w:tblPr>
        <w:tblStyle w:val="Tabulka10"/>
        <w:tblW w:w="8151" w:type="dxa"/>
        <w:tblLook w:val="04A0" w:firstRow="1" w:lastRow="0" w:firstColumn="1" w:lastColumn="0" w:noHBand="0" w:noVBand="1"/>
      </w:tblPr>
      <w:tblGrid>
        <w:gridCol w:w="1469"/>
        <w:gridCol w:w="3890"/>
        <w:gridCol w:w="1134"/>
        <w:gridCol w:w="1658"/>
      </w:tblGrid>
      <w:tr w:rsidR="00621CFC" w:rsidRPr="00540283" w14:paraId="264F39E1" w14:textId="77777777" w:rsidTr="00621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9" w:type="dxa"/>
          </w:tcPr>
          <w:p w14:paraId="438941E7" w14:textId="77777777" w:rsidR="00621CFC" w:rsidRPr="009506CF" w:rsidRDefault="00621CFC" w:rsidP="00931E61">
            <w:pPr>
              <w:pStyle w:val="Tabulka-9"/>
              <w:keepNext/>
              <w:rPr>
                <w:b/>
              </w:rPr>
            </w:pPr>
            <w:r w:rsidRPr="009506CF">
              <w:rPr>
                <w:b/>
              </w:rPr>
              <w:t>Postup</w:t>
            </w:r>
          </w:p>
        </w:tc>
        <w:tc>
          <w:tcPr>
            <w:tcW w:w="3890" w:type="dxa"/>
          </w:tcPr>
          <w:p w14:paraId="03B21729" w14:textId="77777777" w:rsidR="00621CFC" w:rsidRPr="00540283" w:rsidRDefault="00621CFC" w:rsidP="00931E61">
            <w:pPr>
              <w:pStyle w:val="Tabulka-9"/>
              <w:keepNext/>
              <w:cnfStyle w:val="100000000000" w:firstRow="1" w:lastRow="0" w:firstColumn="0" w:lastColumn="0" w:oddVBand="0" w:evenVBand="0" w:oddHBand="0" w:evenHBand="0" w:firstRowFirstColumn="0" w:firstRowLastColumn="0" w:lastRowFirstColumn="0" w:lastRowLastColumn="0"/>
              <w:rPr>
                <w:b/>
              </w:rPr>
            </w:pPr>
            <w:r w:rsidRPr="00540283">
              <w:rPr>
                <w:b/>
              </w:rPr>
              <w:t>Činnosti</w:t>
            </w:r>
          </w:p>
        </w:tc>
        <w:tc>
          <w:tcPr>
            <w:tcW w:w="1134" w:type="dxa"/>
          </w:tcPr>
          <w:p w14:paraId="622F2402" w14:textId="77777777" w:rsidR="00621CFC" w:rsidRPr="00540283" w:rsidRDefault="00621CFC" w:rsidP="00931E61">
            <w:pPr>
              <w:pStyle w:val="Tabulka-9"/>
              <w:keepNext/>
              <w:cnfStyle w:val="100000000000" w:firstRow="1" w:lastRow="0" w:firstColumn="0" w:lastColumn="0" w:oddVBand="0" w:evenVBand="0" w:oddHBand="0" w:evenHBand="0" w:firstRowFirstColumn="0" w:firstRowLastColumn="0" w:lastRowFirstColumn="0" w:lastRowLastColumn="0"/>
              <w:rPr>
                <w:b/>
              </w:rPr>
            </w:pPr>
            <w:r w:rsidRPr="00540283">
              <w:rPr>
                <w:b/>
              </w:rPr>
              <w:t>Typ výluky</w:t>
            </w:r>
          </w:p>
        </w:tc>
        <w:tc>
          <w:tcPr>
            <w:tcW w:w="1658" w:type="dxa"/>
          </w:tcPr>
          <w:p w14:paraId="45854FB2" w14:textId="77777777" w:rsidR="00621CFC" w:rsidRPr="00540283" w:rsidRDefault="00621CFC" w:rsidP="00931E61">
            <w:pPr>
              <w:pStyle w:val="Tabulka-9"/>
              <w:keepNext/>
              <w:cnfStyle w:val="100000000000" w:firstRow="1" w:lastRow="0" w:firstColumn="0" w:lastColumn="0" w:oddVBand="0" w:evenVBand="0" w:oddHBand="0" w:evenHBand="0" w:firstRowFirstColumn="0" w:firstRowLastColumn="0" w:lastRowFirstColumn="0" w:lastRowLastColumn="0"/>
              <w:rPr>
                <w:b/>
              </w:rPr>
            </w:pPr>
            <w:r w:rsidRPr="00540283">
              <w:rPr>
                <w:b/>
              </w:rPr>
              <w:t>Doba pro dokončení</w:t>
            </w:r>
          </w:p>
        </w:tc>
      </w:tr>
      <w:tr w:rsidR="00A1606C" w:rsidRPr="00540283" w14:paraId="4392AE91"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486C3AE3" w14:textId="77777777" w:rsidR="00A1606C" w:rsidRPr="009506CF" w:rsidRDefault="00A1606C" w:rsidP="00A1606C">
            <w:pPr>
              <w:pStyle w:val="Tabulka-9"/>
              <w:keepNext/>
              <w:rPr>
                <w:b/>
              </w:rPr>
            </w:pPr>
            <w:r w:rsidRPr="009506CF">
              <w:rPr>
                <w:b/>
              </w:rPr>
              <w:t xml:space="preserve">Sekce 1 stavební </w:t>
            </w:r>
          </w:p>
        </w:tc>
        <w:tc>
          <w:tcPr>
            <w:tcW w:w="3890" w:type="dxa"/>
          </w:tcPr>
          <w:p w14:paraId="70C57B83" w14:textId="77777777" w:rsidR="00A1606C" w:rsidRPr="00540283" w:rsidRDefault="00A1606C" w:rsidP="00A1606C">
            <w:pPr>
              <w:pStyle w:val="Tabulka-9"/>
              <w:keepNext/>
              <w:cnfStyle w:val="000000000000" w:firstRow="0" w:lastRow="0" w:firstColumn="0" w:lastColumn="0" w:oddVBand="0" w:evenVBand="0" w:oddHBand="0" w:evenHBand="0" w:firstRowFirstColumn="0" w:firstRowLastColumn="0" w:lastRowFirstColumn="0" w:lastRowLastColumn="0"/>
            </w:pPr>
            <w:r w:rsidRPr="00540283">
              <w:t>Ukončení stavebních prací</w:t>
            </w:r>
            <w:r>
              <w:t>, zprovoznění komplet dvojkolejného úseku vč. ŽST Soběslav:</w:t>
            </w:r>
          </w:p>
          <w:p w14:paraId="7C76B421" w14:textId="068FFCE1" w:rsidR="00A1606C" w:rsidRPr="00540283" w:rsidRDefault="00A1606C" w:rsidP="00A1606C">
            <w:pPr>
              <w:pStyle w:val="Tabulka-9"/>
              <w:keepNext/>
              <w:cnfStyle w:val="000000000000" w:firstRow="0" w:lastRow="0" w:firstColumn="0" w:lastColumn="0" w:oddVBand="0" w:evenVBand="0" w:oddHBand="0" w:evenHBand="0" w:firstRowFirstColumn="0" w:firstRowLastColumn="0" w:lastRowFirstColumn="0" w:lastRowLastColumn="0"/>
            </w:pPr>
            <w:r w:rsidRPr="00230991">
              <w:t>Všechny SO a PS (kromě SO 51-10-01.20, SO 52-10-01.10, položek č. 165, 166, 167, 168, 169, 170 a 171 obsažených v SO 98-98</w:t>
            </w:r>
            <w:r>
              <w:t>, části výměry p.č. 44 obsažené v SO 52-60-01</w:t>
            </w:r>
            <w:r w:rsidRPr="00230991">
              <w:t xml:space="preserve"> a části </w:t>
            </w:r>
            <w:r w:rsidRPr="00747522">
              <w:t xml:space="preserve">SO a PS </w:t>
            </w:r>
            <w:r w:rsidRPr="00230991">
              <w:t>obsažen</w:t>
            </w:r>
            <w:r>
              <w:t xml:space="preserve">ých </w:t>
            </w:r>
            <w:r w:rsidRPr="00230991">
              <w:t>v </w:t>
            </w:r>
            <w:r w:rsidRPr="00A64BD8">
              <w:t>Sekci 2 a Sekci 3)</w:t>
            </w:r>
          </w:p>
        </w:tc>
        <w:tc>
          <w:tcPr>
            <w:tcW w:w="1134" w:type="dxa"/>
          </w:tcPr>
          <w:p w14:paraId="70E95CEE" w14:textId="5CE4ED52" w:rsidR="00A1606C" w:rsidRPr="00540283" w:rsidRDefault="00A1606C" w:rsidP="00A1606C">
            <w:pPr>
              <w:pStyle w:val="Tabulka-9"/>
              <w:keepNext/>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762A49E3" w14:textId="77777777" w:rsidR="00A1606C" w:rsidRDefault="00A1606C" w:rsidP="00A1606C">
            <w:pPr>
              <w:pStyle w:val="Tabulka-9"/>
              <w:keepNext/>
              <w:cnfStyle w:val="000000000000" w:firstRow="0" w:lastRow="0" w:firstColumn="0" w:lastColumn="0" w:oddVBand="0" w:evenVBand="0" w:oddHBand="0" w:evenHBand="0" w:firstRowFirstColumn="0" w:firstRowLastColumn="0" w:lastRowFirstColumn="0" w:lastRowLastColumn="0"/>
            </w:pPr>
          </w:p>
          <w:p w14:paraId="49FE8074" w14:textId="2C88B746" w:rsidR="00A1606C" w:rsidRPr="00540283" w:rsidRDefault="00A1606C" w:rsidP="00A1606C">
            <w:pPr>
              <w:pStyle w:val="Tabulka-9"/>
              <w:keepNext/>
              <w:cnfStyle w:val="000000000000" w:firstRow="0" w:lastRow="0" w:firstColumn="0" w:lastColumn="0" w:oddVBand="0" w:evenVBand="0" w:oddHBand="0" w:evenHBand="0" w:firstRowFirstColumn="0" w:firstRowLastColumn="0" w:lastRowFirstColumn="0" w:lastRowLastColumn="0"/>
            </w:pPr>
            <w:r>
              <w:t>28</w:t>
            </w:r>
            <w:r w:rsidRPr="00540283">
              <w:t xml:space="preserve">. </w:t>
            </w:r>
            <w:r>
              <w:t>11</w:t>
            </w:r>
            <w:r w:rsidRPr="00540283">
              <w:t>. 2022</w:t>
            </w:r>
          </w:p>
        </w:tc>
      </w:tr>
      <w:tr w:rsidR="00A1606C" w:rsidRPr="00540283" w14:paraId="22609884"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6D3FD501" w14:textId="77777777" w:rsidR="00A1606C" w:rsidRPr="009506CF" w:rsidRDefault="00A1606C" w:rsidP="00A1606C">
            <w:pPr>
              <w:pStyle w:val="Tabulka-9"/>
              <w:rPr>
                <w:b/>
              </w:rPr>
            </w:pPr>
            <w:r w:rsidRPr="009506CF">
              <w:rPr>
                <w:b/>
              </w:rPr>
              <w:t xml:space="preserve">Sekce 2  </w:t>
            </w:r>
          </w:p>
        </w:tc>
        <w:tc>
          <w:tcPr>
            <w:tcW w:w="3890" w:type="dxa"/>
          </w:tcPr>
          <w:p w14:paraId="689E1CE3" w14:textId="77777777"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540283">
              <w:t xml:space="preserve">Soubor prací v rámci PS a SO umožňující zprovoznění nové přeložky a převedení stávajícího železničního provozu do nové stopy v rozsahu: </w:t>
            </w:r>
          </w:p>
          <w:p w14:paraId="306BEB5C" w14:textId="46FB43C7"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540283">
              <w:t>úsek č. 51 ŽST Soběslav sudá skupina zhlaví, úsek č. 52 Soběslav – Doubí 2. TK</w:t>
            </w:r>
          </w:p>
        </w:tc>
        <w:tc>
          <w:tcPr>
            <w:tcW w:w="1134" w:type="dxa"/>
          </w:tcPr>
          <w:p w14:paraId="3730EC4F" w14:textId="30640096"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6AE65BE7" w14:textId="0777456D"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540283">
              <w:t>29. 8. 2022</w:t>
            </w:r>
          </w:p>
        </w:tc>
      </w:tr>
      <w:tr w:rsidR="00A1606C" w:rsidRPr="00540283" w14:paraId="0BC8CE81"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6EC7D37F" w14:textId="77777777" w:rsidR="00A1606C" w:rsidRPr="009506CF" w:rsidRDefault="00A1606C" w:rsidP="00A1606C">
            <w:pPr>
              <w:pStyle w:val="Tabulka-9"/>
              <w:rPr>
                <w:b/>
              </w:rPr>
            </w:pPr>
            <w:r w:rsidRPr="009506CF">
              <w:rPr>
                <w:b/>
              </w:rPr>
              <w:t>Sekce 3</w:t>
            </w:r>
          </w:p>
        </w:tc>
        <w:tc>
          <w:tcPr>
            <w:tcW w:w="3890" w:type="dxa"/>
          </w:tcPr>
          <w:p w14:paraId="5A2BFD30" w14:textId="77777777" w:rsidR="00A1606C"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540283">
              <w:t xml:space="preserve">Soubor prací v rámci PS a SO umožňující zavedení </w:t>
            </w:r>
            <w:r>
              <w:t xml:space="preserve">dvojkolejného </w:t>
            </w:r>
            <w:r w:rsidRPr="00540283">
              <w:t xml:space="preserve">železničního provozu </w:t>
            </w:r>
            <w:r>
              <w:t>mimo ŽST Soběslav:</w:t>
            </w:r>
          </w:p>
          <w:p w14:paraId="22E3AD99" w14:textId="7B94E41C"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t xml:space="preserve">úsek č. 51 ŽST Soběslav propojení z výh. č. 15 přes výh. č. 16 do 1. TK, úsek </w:t>
            </w:r>
            <w:r w:rsidRPr="00540283">
              <w:t xml:space="preserve">č. </w:t>
            </w:r>
            <w:r>
              <w:t>52 Soběslav – Doubí dvojkolejně</w:t>
            </w:r>
          </w:p>
        </w:tc>
        <w:tc>
          <w:tcPr>
            <w:tcW w:w="1134" w:type="dxa"/>
          </w:tcPr>
          <w:p w14:paraId="13878348" w14:textId="1A000793"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50C40A37" w14:textId="4643E92E"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t>17</w:t>
            </w:r>
            <w:r w:rsidRPr="00540283">
              <w:t xml:space="preserve">. </w:t>
            </w:r>
            <w:r>
              <w:t>10</w:t>
            </w:r>
            <w:r w:rsidRPr="00540283">
              <w:t>. 2022</w:t>
            </w:r>
          </w:p>
        </w:tc>
      </w:tr>
      <w:tr w:rsidR="00A1606C" w:rsidRPr="00FC597B" w14:paraId="7DE3D853"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31A6DB45" w14:textId="77777777" w:rsidR="00A1606C" w:rsidRPr="009506CF" w:rsidRDefault="00A1606C" w:rsidP="00A1606C">
            <w:pPr>
              <w:pStyle w:val="Tabulka-9"/>
              <w:rPr>
                <w:b/>
              </w:rPr>
            </w:pPr>
            <w:r w:rsidRPr="009506CF">
              <w:rPr>
                <w:b/>
              </w:rPr>
              <w:t>Sekce 4</w:t>
            </w:r>
          </w:p>
        </w:tc>
        <w:tc>
          <w:tcPr>
            <w:tcW w:w="3890" w:type="dxa"/>
          </w:tcPr>
          <w:p w14:paraId="6936A694" w14:textId="68F80EB5"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540283">
              <w:t>Následné úpravy směrové a výškové polohy koleje (</w:t>
            </w:r>
            <w:r w:rsidRPr="00270BEA">
              <w:t>SO 51-10-01.20, SO 52-10-01.10</w:t>
            </w:r>
            <w:r>
              <w:t>) a finální výšková regulace troleje (část výměry p.č</w:t>
            </w:r>
            <w:r w:rsidRPr="005145BB">
              <w:t>. 44 obsažená</w:t>
            </w:r>
            <w:r>
              <w:t xml:space="preserve"> v SO 52-60-01).</w:t>
            </w:r>
          </w:p>
        </w:tc>
        <w:tc>
          <w:tcPr>
            <w:tcW w:w="1134" w:type="dxa"/>
          </w:tcPr>
          <w:p w14:paraId="70A164AA" w14:textId="0F591D29" w:rsidR="00A1606C" w:rsidRPr="00540283" w:rsidRDefault="00A1606C" w:rsidP="00A1606C">
            <w:pPr>
              <w:pStyle w:val="Tabulka-9"/>
              <w:cnfStyle w:val="000000000000" w:firstRow="0" w:lastRow="0" w:firstColumn="0" w:lastColumn="0" w:oddVBand="0" w:evenVBand="0" w:oddHBand="0" w:evenHBand="0" w:firstRowFirstColumn="0" w:firstRowLastColumn="0" w:lastRowFirstColumn="0" w:lastRowLastColumn="0"/>
            </w:pPr>
            <w:r>
              <w:t>dle platného HMG</w:t>
            </w:r>
          </w:p>
        </w:tc>
        <w:tc>
          <w:tcPr>
            <w:tcW w:w="1658" w:type="dxa"/>
          </w:tcPr>
          <w:p w14:paraId="55620394" w14:textId="77777777" w:rsidR="00A1606C" w:rsidRDefault="00A1606C" w:rsidP="00A1606C">
            <w:pPr>
              <w:pStyle w:val="Tabulka-9"/>
              <w:cnfStyle w:val="000000000000" w:firstRow="0" w:lastRow="0" w:firstColumn="0" w:lastColumn="0" w:oddVBand="0" w:evenVBand="0" w:oddHBand="0" w:evenHBand="0" w:firstRowFirstColumn="0" w:firstRowLastColumn="0" w:lastRowFirstColumn="0" w:lastRowLastColumn="0"/>
            </w:pPr>
            <w:r>
              <w:t xml:space="preserve">do 6 měsíců po ukončení Sekce 1 stavební – nejpozději do </w:t>
            </w:r>
          </w:p>
          <w:p w14:paraId="5BA256AB" w14:textId="0655FE46" w:rsidR="00A1606C" w:rsidRPr="00FC597B"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540283">
              <w:t>31. 5. 2023</w:t>
            </w:r>
          </w:p>
        </w:tc>
      </w:tr>
      <w:tr w:rsidR="00A1606C" w:rsidRPr="00FC597B" w14:paraId="04828D7B" w14:textId="77777777" w:rsidTr="00621CFC">
        <w:tc>
          <w:tcPr>
            <w:cnfStyle w:val="001000000000" w:firstRow="0" w:lastRow="0" w:firstColumn="1" w:lastColumn="0" w:oddVBand="0" w:evenVBand="0" w:oddHBand="0" w:evenHBand="0" w:firstRowFirstColumn="0" w:firstRowLastColumn="0" w:lastRowFirstColumn="0" w:lastRowLastColumn="0"/>
            <w:tcW w:w="1469" w:type="dxa"/>
          </w:tcPr>
          <w:p w14:paraId="28EEF22C" w14:textId="77777777" w:rsidR="00A1606C" w:rsidRPr="009506CF" w:rsidRDefault="00A1606C" w:rsidP="00A1606C">
            <w:pPr>
              <w:pStyle w:val="Tabulka-9"/>
              <w:rPr>
                <w:b/>
              </w:rPr>
            </w:pPr>
            <w:r w:rsidRPr="009506CF">
              <w:rPr>
                <w:b/>
              </w:rPr>
              <w:t>Sekce 5</w:t>
            </w:r>
          </w:p>
        </w:tc>
        <w:tc>
          <w:tcPr>
            <w:tcW w:w="3890" w:type="dxa"/>
          </w:tcPr>
          <w:p w14:paraId="4D85ECCF" w14:textId="77777777" w:rsidR="00A1606C"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A64BD8">
              <w:t>Zhotovení SO 98-98 kromě položky č. 172,</w:t>
            </w:r>
            <w:r w:rsidRPr="00FC597B">
              <w:t xml:space="preserve"> která bude zhotovena v Sekcích 1 až 4</w:t>
            </w:r>
            <w:r>
              <w:t>.</w:t>
            </w:r>
          </w:p>
          <w:p w14:paraId="6BE71ABD" w14:textId="47BC4C6D" w:rsidR="00A1606C" w:rsidRPr="009506CF" w:rsidRDefault="00A1606C" w:rsidP="00A1606C">
            <w:pPr>
              <w:pStyle w:val="Tabulka-9"/>
              <w:cnfStyle w:val="000000000000" w:firstRow="0" w:lastRow="0" w:firstColumn="0" w:lastColumn="0" w:oddVBand="0" w:evenVBand="0" w:oddHBand="0" w:evenHBand="0" w:firstRowFirstColumn="0" w:firstRowLastColumn="0" w:lastRowFirstColumn="0" w:lastRowLastColumn="0"/>
              <w:rPr>
                <w:b/>
              </w:rPr>
            </w:pPr>
            <w:r w:rsidRPr="009506CF">
              <w:rPr>
                <w:b/>
              </w:rPr>
              <w:t>Dokončení Díla</w:t>
            </w:r>
          </w:p>
        </w:tc>
        <w:tc>
          <w:tcPr>
            <w:tcW w:w="1134" w:type="dxa"/>
          </w:tcPr>
          <w:p w14:paraId="1BF9BBE0" w14:textId="77777777" w:rsidR="00A1606C" w:rsidRPr="00FC597B" w:rsidRDefault="00A1606C" w:rsidP="00A1606C">
            <w:pPr>
              <w:pStyle w:val="Tabulka-9"/>
              <w:cnfStyle w:val="000000000000" w:firstRow="0" w:lastRow="0" w:firstColumn="0" w:lastColumn="0" w:oddVBand="0" w:evenVBand="0" w:oddHBand="0" w:evenHBand="0" w:firstRowFirstColumn="0" w:firstRowLastColumn="0" w:lastRowFirstColumn="0" w:lastRowLastColumn="0"/>
            </w:pPr>
          </w:p>
        </w:tc>
        <w:tc>
          <w:tcPr>
            <w:tcW w:w="1658" w:type="dxa"/>
          </w:tcPr>
          <w:p w14:paraId="4CB474BD" w14:textId="77777777" w:rsidR="00A1606C" w:rsidRDefault="00A1606C" w:rsidP="00A1606C">
            <w:pPr>
              <w:pStyle w:val="Tabulka-9"/>
              <w:cnfStyle w:val="000000000000" w:firstRow="0" w:lastRow="0" w:firstColumn="0" w:lastColumn="0" w:oddVBand="0" w:evenVBand="0" w:oddHBand="0" w:evenHBand="0" w:firstRowFirstColumn="0" w:firstRowLastColumn="0" w:lastRowFirstColumn="0" w:lastRowLastColumn="0"/>
            </w:pPr>
            <w:r>
              <w:t xml:space="preserve">7 měsíců po ukončení Sekce 1 stavební - nejpozději do </w:t>
            </w:r>
          </w:p>
          <w:p w14:paraId="342B8463" w14:textId="5464E148" w:rsidR="00A1606C" w:rsidRPr="00FC597B" w:rsidRDefault="00A1606C" w:rsidP="00A1606C">
            <w:pPr>
              <w:pStyle w:val="Tabulka-9"/>
              <w:cnfStyle w:val="000000000000" w:firstRow="0" w:lastRow="0" w:firstColumn="0" w:lastColumn="0" w:oddVBand="0" w:evenVBand="0" w:oddHBand="0" w:evenHBand="0" w:firstRowFirstColumn="0" w:firstRowLastColumn="0" w:lastRowFirstColumn="0" w:lastRowLastColumn="0"/>
            </w:pPr>
            <w:r w:rsidRPr="00540283">
              <w:t>3</w:t>
            </w:r>
            <w:r>
              <w:t>0</w:t>
            </w:r>
            <w:r w:rsidRPr="00540283">
              <w:t xml:space="preserve">. </w:t>
            </w:r>
            <w:r>
              <w:t>6</w:t>
            </w:r>
            <w:r w:rsidRPr="00540283">
              <w:t>. 2023</w:t>
            </w:r>
          </w:p>
        </w:tc>
      </w:tr>
    </w:tbl>
    <w:p w14:paraId="3D05D58B" w14:textId="74E2C33A" w:rsidR="003259C2" w:rsidRPr="00D76CEE" w:rsidRDefault="003259C2" w:rsidP="00C732F0">
      <w:pPr>
        <w:pStyle w:val="Bezmezer"/>
        <w:jc w:val="both"/>
        <w:rPr>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Změnu nebo doplnění dalšího bankovního </w:t>
      </w:r>
      <w:r>
        <w:lastRenderedPageBreak/>
        <w:t>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5B48">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19B5FF8E" w14:textId="77777777" w:rsidR="00A1606C" w:rsidRDefault="00A1606C" w:rsidP="00A1606C">
      <w:pPr>
        <w:pStyle w:val="Textbezodsazen"/>
      </w:pPr>
      <w:r>
        <w:t>Ustanovení   (a), (1) a (3) pod-článku 1.15 se nepoužijí.</w:t>
      </w:r>
    </w:p>
    <w:p w14:paraId="7619B98F" w14:textId="77777777" w:rsidR="00A1606C" w:rsidRDefault="00A1606C" w:rsidP="00A1606C">
      <w:pPr>
        <w:pStyle w:val="Textbezodsazen"/>
      </w:pPr>
      <w:r>
        <w:t>Podrobnosti a požadavky k ustanovení  (2) pod článku 1.15:</w:t>
      </w:r>
    </w:p>
    <w:p w14:paraId="53F08E05" w14:textId="77777777" w:rsidR="00A1606C" w:rsidRDefault="00A1606C" w:rsidP="00A1606C">
      <w:pPr>
        <w:pStyle w:val="Textbezodsazen"/>
      </w:pPr>
      <w:r>
        <w:t>(i)</w:t>
      </w:r>
      <w:r>
        <w:tab/>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E854562" w14:textId="77777777" w:rsidR="00A1606C" w:rsidRDefault="00A1606C" w:rsidP="00A1606C">
      <w:pPr>
        <w:pStyle w:val="Textbezodsazen"/>
      </w:pPr>
      <w:r>
        <w:lastRenderedPageBreak/>
        <w:t>(ii)</w:t>
      </w:r>
      <w:r>
        <w:tab/>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9C3AC32" w14:textId="77777777" w:rsidR="00A1606C" w:rsidRDefault="00A1606C" w:rsidP="00A1606C">
      <w:pPr>
        <w:pStyle w:val="Textbezodsazen"/>
      </w:pPr>
      <w:r>
        <w:t>(iii)</w:t>
      </w:r>
      <w:r>
        <w:tab/>
        <w:t>Zhotovitel se zavazuje provést účastníky exkurze po dotčených místech dle podmínek a</w:t>
      </w:r>
    </w:p>
    <w:p w14:paraId="766A05C7" w14:textId="3D237214" w:rsidR="00953532" w:rsidRPr="00D76CEE" w:rsidRDefault="00A1606C" w:rsidP="00A1606C">
      <w:pPr>
        <w:pStyle w:val="Textbezodsazen"/>
      </w:pPr>
      <w:r>
        <w:t>omezení stanovených BOZP a poskytnout účastníkům exkurze odborný výklad k aktuálně prováděným činnostem.</w:t>
      </w:r>
    </w:p>
    <w:p w14:paraId="5C6CA4EB" w14:textId="77777777" w:rsidR="00C96E7C" w:rsidRDefault="00C96E7C" w:rsidP="005B7883">
      <w:pPr>
        <w:pStyle w:val="Nadpisbezsl1-2"/>
      </w:pPr>
      <w:r>
        <w:t>2.1  Právo přístupu na staveniště</w:t>
      </w:r>
    </w:p>
    <w:p w14:paraId="4EFFAE80" w14:textId="13DC4AD3" w:rsidR="00C96E7C" w:rsidRDefault="00C96E7C" w:rsidP="005D168C">
      <w:pPr>
        <w:pStyle w:val="Textbezodsazen"/>
      </w:pPr>
      <w:r>
        <w:t xml:space="preserve">Přístup na Staveniště bude Zhotoviteli umožněn od </w:t>
      </w:r>
      <w:r w:rsidR="00D76CEE">
        <w:t>předání Staveniště (předpoklad 0</w:t>
      </w:r>
      <w:r w:rsidR="00A1606C">
        <w:t>5</w:t>
      </w:r>
      <w:r w:rsidR="00D76CEE">
        <w:t>/2021)</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5BCEF04" w14:textId="748B9B5F" w:rsidR="00D76CEE" w:rsidRPr="00886AF1" w:rsidRDefault="00D76CEE" w:rsidP="00D76CEE">
      <w:pPr>
        <w:pStyle w:val="Textbezodsazen"/>
        <w:spacing w:after="0"/>
        <w:ind w:left="720"/>
      </w:pPr>
      <w:r>
        <w:t xml:space="preserve"> JUDr. Richard Cihlář</w:t>
      </w:r>
    </w:p>
    <w:p w14:paraId="6C2A5C2B" w14:textId="77777777" w:rsidR="00D76CEE" w:rsidRPr="00886AF1" w:rsidRDefault="00D76CEE" w:rsidP="00D76CEE">
      <w:pPr>
        <w:pStyle w:val="Textbezodsazen"/>
        <w:spacing w:after="0"/>
      </w:pPr>
      <w:r w:rsidRPr="00886AF1">
        <w:t xml:space="preserve">            Správa železnic, státní organizace</w:t>
      </w:r>
    </w:p>
    <w:p w14:paraId="301ED73B" w14:textId="77777777" w:rsidR="00D76CEE" w:rsidRPr="00886AF1" w:rsidRDefault="00D76CEE" w:rsidP="00D76CEE">
      <w:pPr>
        <w:pStyle w:val="Textbezodsazen"/>
        <w:spacing w:after="0"/>
      </w:pPr>
      <w:r w:rsidRPr="00886AF1">
        <w:t xml:space="preserve">            Stavební správa západ</w:t>
      </w:r>
    </w:p>
    <w:p w14:paraId="2A33C4C8" w14:textId="77777777" w:rsidR="00D76CEE" w:rsidRPr="00886AF1" w:rsidRDefault="00D76CEE" w:rsidP="00D76CEE">
      <w:pPr>
        <w:pStyle w:val="Textbezodsazen"/>
        <w:spacing w:after="0"/>
        <w:ind w:left="720"/>
      </w:pPr>
      <w:r w:rsidRPr="00886AF1">
        <w:t xml:space="preserve"> Sokolovská 1955/278, 190 00 Praha 9</w:t>
      </w:r>
    </w:p>
    <w:p w14:paraId="1F10F809" w14:textId="40BC8955" w:rsidR="00D76CEE" w:rsidRDefault="00D76CEE" w:rsidP="00D76CEE">
      <w:pPr>
        <w:pStyle w:val="Textbezodsazen"/>
        <w:spacing w:after="0"/>
        <w:ind w:left="720"/>
        <w:rPr>
          <w:rStyle w:val="Hypertextovodkaz"/>
          <w:noProof w:val="0"/>
        </w:rPr>
      </w:pPr>
      <w:r>
        <w:t xml:space="preserve"> </w:t>
      </w:r>
      <w:r w:rsidRPr="00886AF1">
        <w:t xml:space="preserve">mobil </w:t>
      </w:r>
      <w:r w:rsidRPr="00AE2A0C">
        <w:t>702</w:t>
      </w:r>
      <w:r>
        <w:t> </w:t>
      </w:r>
      <w:r w:rsidRPr="00AE2A0C">
        <w:t>1</w:t>
      </w:r>
      <w:r>
        <w:t>63 402</w:t>
      </w:r>
      <w:r w:rsidRPr="00886AF1">
        <w:t xml:space="preserve">, e-mail: </w:t>
      </w:r>
      <w:r>
        <w:t>CihlarR@spravazeleznic.cz</w:t>
      </w:r>
    </w:p>
    <w:p w14:paraId="690840C4" w14:textId="77777777" w:rsidR="00D76CEE" w:rsidRDefault="00D76CEE" w:rsidP="00D76CEE">
      <w:pPr>
        <w:pStyle w:val="Textbezodsazen"/>
        <w:spacing w:after="0"/>
        <w:ind w:left="720"/>
        <w:rPr>
          <w:rStyle w:val="Hypertextovodkaz"/>
          <w:noProof w:val="0"/>
        </w:rPr>
      </w:pPr>
    </w:p>
    <w:p w14:paraId="7CA994B0" w14:textId="77777777" w:rsidR="00D76CEE" w:rsidRDefault="00D76CEE" w:rsidP="00D76CEE">
      <w:pPr>
        <w:pStyle w:val="Textbezodsazen"/>
        <w:spacing w:after="0"/>
      </w:pPr>
      <w:r>
        <w:t>V</w:t>
      </w:r>
      <w:r w:rsidRPr="008575D3">
        <w:t>e věci kontroly požití alkoholu a/nebo návykových látek a BOZP</w:t>
      </w:r>
      <w:r>
        <w:t>:</w:t>
      </w:r>
    </w:p>
    <w:p w14:paraId="10BA1CF3" w14:textId="77777777" w:rsidR="00D76CEE" w:rsidRDefault="00D76CEE" w:rsidP="00D76CEE">
      <w:pPr>
        <w:pStyle w:val="Textbezodsazen"/>
        <w:spacing w:after="0"/>
        <w:jc w:val="left"/>
      </w:pPr>
      <w:r>
        <w:t>Martin Šesták</w:t>
      </w:r>
      <w:r w:rsidRPr="008575D3">
        <w:t xml:space="preserve">, </w:t>
      </w:r>
      <w:r w:rsidRPr="008A6AC9">
        <w:t>mobil 602 708 920, e-mail: SestakM@spravazeleznic.cz</w:t>
      </w:r>
    </w:p>
    <w:p w14:paraId="4EF5573D" w14:textId="77777777" w:rsidR="00D76CEE" w:rsidRDefault="00D76CEE" w:rsidP="00D76CEE">
      <w:pPr>
        <w:pStyle w:val="Textbezodsazen"/>
        <w:spacing w:after="0"/>
        <w:jc w:val="left"/>
      </w:pPr>
    </w:p>
    <w:p w14:paraId="3520AB82" w14:textId="014910A3" w:rsidR="00D76CEE" w:rsidRDefault="00D76CEE" w:rsidP="00D76CEE">
      <w:pPr>
        <w:pStyle w:val="Textbezodsazen"/>
        <w:spacing w:after="0"/>
      </w:pPr>
      <w:r>
        <w:t>V</w:t>
      </w:r>
      <w:r w:rsidRPr="008575D3">
        <w:t>e věci koordinace s</w:t>
      </w:r>
      <w:r>
        <w:t xml:space="preserve">e </w:t>
      </w:r>
      <w:r w:rsidRPr="008575D3">
        <w:t>zhotovitelem</w:t>
      </w:r>
      <w:r>
        <w:t xml:space="preserve"> stavby „</w:t>
      </w:r>
      <w:r w:rsidRPr="00D76CEE">
        <w:t>Modernizace trati Veselí n. L. – Tábor – II. část, úsek Veselí n. L. – Doubí u Tábora, 2. etapa Soběslav – Doubí</w:t>
      </w:r>
      <w:r>
        <w:t>“:</w:t>
      </w:r>
    </w:p>
    <w:p w14:paraId="416066BB" w14:textId="77777777" w:rsidR="00D76CEE" w:rsidRPr="00CC4235" w:rsidRDefault="00D76CEE" w:rsidP="00D76CEE">
      <w:pPr>
        <w:pStyle w:val="Textbezodsazen"/>
        <w:spacing w:after="0"/>
        <w:rPr>
          <w:color w:val="FF0000"/>
        </w:rPr>
      </w:pPr>
      <w:r>
        <w:t>Bohumil Uhlíř</w:t>
      </w:r>
      <w:r w:rsidRPr="008A6AC9">
        <w:t xml:space="preserve">, mobil </w:t>
      </w:r>
      <w:r>
        <w:t>606 655 966</w:t>
      </w:r>
      <w:r w:rsidRPr="008A6AC9">
        <w:t xml:space="preserve">, e-mail: </w:t>
      </w:r>
      <w:r>
        <w:t>uhlirbo</w:t>
      </w:r>
      <w:r w:rsidRPr="008A6AC9">
        <w:t>@spravazeleznic.cz</w:t>
      </w:r>
    </w:p>
    <w:p w14:paraId="2FC4176E" w14:textId="2352BB78"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3AB6A6F2" w:rsidR="009C1450" w:rsidRPr="00EB6216" w:rsidRDefault="009C1450" w:rsidP="005D168C">
      <w:pPr>
        <w:pStyle w:val="Textbezodsazen"/>
      </w:pPr>
      <w:r w:rsidRPr="00EB6216">
        <w:t>Zvláštní</w:t>
      </w:r>
      <w:r w:rsidR="00B31751">
        <w:t>m</w:t>
      </w:r>
      <w:r w:rsidRPr="00EB6216">
        <w:t xml:space="preserve">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lastRenderedPageBreak/>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lastRenderedPageBreak/>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 xml:space="preserve">zjištění nedostatku, je povinen </w:t>
      </w:r>
      <w:r>
        <w:lastRenderedPageBreak/>
        <w:t>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AA5B48" w:rsidRDefault="00C45177" w:rsidP="00C45177">
      <w:pPr>
        <w:spacing w:after="120"/>
        <w:jc w:val="both"/>
        <w:rPr>
          <w:b/>
          <w:sz w:val="18"/>
          <w:szCs w:val="18"/>
        </w:rPr>
      </w:pPr>
      <w:r w:rsidRPr="00AA5B48">
        <w:rPr>
          <w:b/>
          <w:sz w:val="18"/>
          <w:szCs w:val="18"/>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56053BC0" w:rsidR="00C96E7C" w:rsidRDefault="00C96E7C" w:rsidP="005B7883">
      <w:pPr>
        <w:pStyle w:val="Nadpisbezsl1-2"/>
      </w:pPr>
      <w:r>
        <w:t>4.28 Postupné závazné milníky</w:t>
      </w:r>
    </w:p>
    <w:p w14:paraId="21D209F2" w14:textId="1409E433" w:rsidR="00A621C4" w:rsidRDefault="00A621C4" w:rsidP="00A621C4">
      <w:pPr>
        <w:pStyle w:val="Nadpis2-2"/>
        <w:numPr>
          <w:ilvl w:val="0"/>
          <w:numId w:val="0"/>
        </w:numPr>
        <w:ind w:left="737" w:hanging="737"/>
        <w:rPr>
          <w:b w:val="0"/>
          <w:sz w:val="18"/>
        </w:rPr>
      </w:pPr>
      <w:r w:rsidRPr="00A621C4">
        <w:rPr>
          <w:b w:val="0"/>
          <w:sz w:val="18"/>
        </w:rPr>
        <w:t>Pro provádění Díla jsou stanoveny následující milníky:</w:t>
      </w:r>
    </w:p>
    <w:p w14:paraId="5A8444BA" w14:textId="5F7AD336" w:rsidR="00A621C4" w:rsidRDefault="00A621C4" w:rsidP="00A621C4">
      <w:pPr>
        <w:pStyle w:val="Text2-1"/>
        <w:numPr>
          <w:ilvl w:val="0"/>
          <w:numId w:val="0"/>
        </w:numPr>
        <w:ind w:left="737" w:hanging="737"/>
      </w:pPr>
      <w:r>
        <w:t>Dokončení Sekce 2: do 29. 8. 2022</w:t>
      </w:r>
    </w:p>
    <w:p w14:paraId="0605AD71" w14:textId="64E7409C" w:rsidR="00A621C4" w:rsidRPr="00A621C4" w:rsidRDefault="00A621C4" w:rsidP="00A621C4">
      <w:pPr>
        <w:pStyle w:val="Text2-1"/>
        <w:numPr>
          <w:ilvl w:val="0"/>
          <w:numId w:val="0"/>
        </w:numPr>
        <w:ind w:left="737" w:hanging="737"/>
      </w:pPr>
      <w:r>
        <w:t>Dokončení Sekce 3: do 17. 10. 2022</w:t>
      </w:r>
    </w:p>
    <w:p w14:paraId="66854CDD" w14:textId="131E8465" w:rsidR="00C96E7C" w:rsidRDefault="00C96E7C" w:rsidP="005B7883">
      <w:pPr>
        <w:pStyle w:val="Nadpisbezsl1-2"/>
      </w:pPr>
      <w:r>
        <w:t>8.2, 8.4  Doba pro dokončení, Prodloužení doby pro dokončení</w:t>
      </w:r>
    </w:p>
    <w:p w14:paraId="22E2A309" w14:textId="1733A473" w:rsidR="00C96E7C" w:rsidRPr="00D76CEE" w:rsidRDefault="00C96E7C" w:rsidP="005D168C">
      <w:pPr>
        <w:pStyle w:val="Textbezodsazen"/>
        <w:rPr>
          <w:color w:val="FF0000"/>
        </w:rPr>
      </w:pPr>
      <w:r>
        <w:t>Zhotovitel je povinen dokončit celé Dílo včetně příslušné dokumentace dle pod-článku 7.9 do</w:t>
      </w:r>
      <w:r w:rsidR="004D4B84">
        <w:t xml:space="preserve"> </w:t>
      </w:r>
      <w:r w:rsidR="005145BB">
        <w:t>30</w:t>
      </w:r>
      <w:r w:rsidR="00A621C4">
        <w:t xml:space="preserve">. </w:t>
      </w:r>
      <w:r w:rsidR="005145BB">
        <w:t>06</w:t>
      </w:r>
      <w:r w:rsidR="00A621C4">
        <w:t>. 2023.</w:t>
      </w:r>
    </w:p>
    <w:p w14:paraId="2F057894" w14:textId="77777777" w:rsidR="00C96E7C" w:rsidRDefault="00C96E7C" w:rsidP="005B7883">
      <w:pPr>
        <w:pStyle w:val="Nadpisbezsl1-2"/>
      </w:pPr>
      <w:r>
        <w:t>8.2, 1.1.3.10  Doba pro uvedení do provozu</w:t>
      </w:r>
    </w:p>
    <w:p w14:paraId="7FEF8740" w14:textId="424BE50F" w:rsidR="00C96E7C" w:rsidRPr="001B0538" w:rsidRDefault="00C96E7C" w:rsidP="005D168C">
      <w:pPr>
        <w:pStyle w:val="Textbezodsazen"/>
        <w:rPr>
          <w:b/>
          <w:color w:val="FF0000"/>
        </w:rPr>
      </w:pPr>
      <w:r>
        <w:t xml:space="preserve">Zhotovitel je povinen dokončit </w:t>
      </w:r>
      <w:r w:rsidRPr="001B0538">
        <w:t xml:space="preserve">Dílo </w:t>
      </w:r>
      <w:r w:rsidR="001B0538">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A621C4">
        <w:t>28. 11. 2022.</w:t>
      </w:r>
    </w:p>
    <w:p w14:paraId="2B6E7F9A" w14:textId="77777777" w:rsidR="00C96E7C" w:rsidRDefault="00C96E7C" w:rsidP="005B7883">
      <w:pPr>
        <w:pStyle w:val="Nadpisbezsl1-2"/>
      </w:pPr>
      <w:r>
        <w:lastRenderedPageBreak/>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0A2C1678" w14:textId="77777777" w:rsidR="00C96E7C" w:rsidRDefault="00C96E7C" w:rsidP="00582C15">
      <w:pPr>
        <w:pStyle w:val="Textbezodsazen"/>
      </w:pPr>
      <w:r>
        <w:t>Zálohová platba se neposkytuje.</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19DEA434" w:rsidR="00C96E7C" w:rsidRDefault="00C96E7C" w:rsidP="00582C15">
      <w:pPr>
        <w:pStyle w:val="Textbezodsazen"/>
      </w:pPr>
      <w:r>
        <w:t>Minimální částka Potvrzení průběžné platby není stanovena.</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1"/>
      <w:footerReference w:type="default" r:id="rId12"/>
      <w:headerReference w:type="first" r:id="rId1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85BEE" w14:textId="77777777" w:rsidR="00DA68C5" w:rsidRDefault="00DA68C5" w:rsidP="00962258">
      <w:pPr>
        <w:spacing w:after="0" w:line="240" w:lineRule="auto"/>
      </w:pPr>
      <w:r>
        <w:separator/>
      </w:r>
    </w:p>
  </w:endnote>
  <w:endnote w:type="continuationSeparator" w:id="0">
    <w:p w14:paraId="594CD574" w14:textId="77777777" w:rsidR="00DA68C5" w:rsidRDefault="00DA68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5CC6913B"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F8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5F85">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49927C58"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F95F85">
            <w:rPr>
              <w:b/>
              <w:noProof/>
            </w:rPr>
            <w:t>„Modernizace trati Veselí n. L. – Tábor – II. část, úsek Veselí n. L. – Doubí u Tábora, 2. etapa Soběslav – Doubí – zvýšení rychlosti nad 160 km/hod. do max. 200 km/hod.“</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3E8C379D"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F95F85">
            <w:rPr>
              <w:b/>
              <w:noProof/>
            </w:rPr>
            <w:t>„Modernizace trati Veselí n. L. – Tábor – II. část, úsek Veselí n. L. – Doubí u Tábora, 2. etapa Soběslav – Doubí – zvýšení rychlosti nad 160 km/hod. do max. 200 km/hod.“</w:t>
          </w:r>
          <w:r w:rsidRPr="00967F7C">
            <w:rPr>
              <w:b/>
              <w:noProof/>
            </w:rPr>
            <w:fldChar w:fldCharType="end"/>
          </w:r>
        </w:p>
      </w:tc>
      <w:tc>
        <w:tcPr>
          <w:tcW w:w="1021" w:type="dxa"/>
          <w:vAlign w:val="bottom"/>
        </w:tcPr>
        <w:p w14:paraId="63EFD5E7" w14:textId="7E37AF73"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F8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5F85">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E87E8" w14:textId="77777777" w:rsidR="00DA68C5" w:rsidRDefault="00DA68C5" w:rsidP="00962258">
      <w:pPr>
        <w:spacing w:after="0" w:line="240" w:lineRule="auto"/>
      </w:pPr>
      <w:r>
        <w:separator/>
      </w:r>
    </w:p>
  </w:footnote>
  <w:footnote w:type="continuationSeparator" w:id="0">
    <w:p w14:paraId="3356A817" w14:textId="77777777" w:rsidR="00DA68C5" w:rsidRDefault="00DA68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B4274"/>
    <w:multiLevelType w:val="hybridMultilevel"/>
    <w:tmpl w:val="5F108034"/>
    <w:lvl w:ilvl="0" w:tplc="E690E8E2">
      <w:numFmt w:val="bullet"/>
      <w:pStyle w:val="TPText-1-odrka"/>
      <w:lvlText w:val="-"/>
      <w:lvlJc w:val="left"/>
      <w:pPr>
        <w:tabs>
          <w:tab w:val="num" w:pos="1094"/>
        </w:tabs>
        <w:ind w:left="1094" w:hanging="357"/>
      </w:pPr>
      <w:rPr>
        <w:rFonts w:ascii="Calibri" w:hAnsi="Calibri" w:hint="default"/>
        <w:b/>
        <w:i w:val="0"/>
        <w:sz w:val="20"/>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56BA"/>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E0B11"/>
    <w:rsid w:val="000E1A7F"/>
    <w:rsid w:val="000E1D4A"/>
    <w:rsid w:val="000F4591"/>
    <w:rsid w:val="00103BEA"/>
    <w:rsid w:val="00111399"/>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2FD4"/>
    <w:rsid w:val="001747C1"/>
    <w:rsid w:val="00174FB5"/>
    <w:rsid w:val="00177D6B"/>
    <w:rsid w:val="00191F90"/>
    <w:rsid w:val="00193672"/>
    <w:rsid w:val="001965E6"/>
    <w:rsid w:val="001B022A"/>
    <w:rsid w:val="001B0538"/>
    <w:rsid w:val="001B4E74"/>
    <w:rsid w:val="001C645F"/>
    <w:rsid w:val="001E3C56"/>
    <w:rsid w:val="001E678E"/>
    <w:rsid w:val="002071BB"/>
    <w:rsid w:val="00207DF5"/>
    <w:rsid w:val="0021172F"/>
    <w:rsid w:val="0023464E"/>
    <w:rsid w:val="00235D7C"/>
    <w:rsid w:val="00240B81"/>
    <w:rsid w:val="00240ED7"/>
    <w:rsid w:val="00244767"/>
    <w:rsid w:val="00247D01"/>
    <w:rsid w:val="00250FC0"/>
    <w:rsid w:val="0025155A"/>
    <w:rsid w:val="00260D49"/>
    <w:rsid w:val="00261614"/>
    <w:rsid w:val="00261A5B"/>
    <w:rsid w:val="00262E5B"/>
    <w:rsid w:val="00276AFE"/>
    <w:rsid w:val="00291225"/>
    <w:rsid w:val="002A3B57"/>
    <w:rsid w:val="002A6862"/>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1F7C"/>
    <w:rsid w:val="004220DE"/>
    <w:rsid w:val="0042532F"/>
    <w:rsid w:val="00427794"/>
    <w:rsid w:val="004309EE"/>
    <w:rsid w:val="00441B4D"/>
    <w:rsid w:val="00450F07"/>
    <w:rsid w:val="00453CD3"/>
    <w:rsid w:val="00460660"/>
    <w:rsid w:val="00464BA9"/>
    <w:rsid w:val="00483969"/>
    <w:rsid w:val="00486107"/>
    <w:rsid w:val="00491827"/>
    <w:rsid w:val="004C4399"/>
    <w:rsid w:val="004C4830"/>
    <w:rsid w:val="004C6F56"/>
    <w:rsid w:val="004C787C"/>
    <w:rsid w:val="004D4B84"/>
    <w:rsid w:val="004E0643"/>
    <w:rsid w:val="004E7A1F"/>
    <w:rsid w:val="004F4B9B"/>
    <w:rsid w:val="00500582"/>
    <w:rsid w:val="0050666E"/>
    <w:rsid w:val="005075E5"/>
    <w:rsid w:val="00511AB9"/>
    <w:rsid w:val="0051377C"/>
    <w:rsid w:val="005145BB"/>
    <w:rsid w:val="00523BB5"/>
    <w:rsid w:val="00523EA7"/>
    <w:rsid w:val="005406EB"/>
    <w:rsid w:val="00553375"/>
    <w:rsid w:val="00555884"/>
    <w:rsid w:val="005571A2"/>
    <w:rsid w:val="005579CC"/>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29C2"/>
    <w:rsid w:val="005F3A96"/>
    <w:rsid w:val="005F3E29"/>
    <w:rsid w:val="005F5308"/>
    <w:rsid w:val="00601A8C"/>
    <w:rsid w:val="00605DD8"/>
    <w:rsid w:val="0061012B"/>
    <w:rsid w:val="0061068E"/>
    <w:rsid w:val="006115D3"/>
    <w:rsid w:val="00612096"/>
    <w:rsid w:val="00614FB2"/>
    <w:rsid w:val="00617585"/>
    <w:rsid w:val="00621CFC"/>
    <w:rsid w:val="00630803"/>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41"/>
    <w:rsid w:val="00726AFE"/>
    <w:rsid w:val="00740AF5"/>
    <w:rsid w:val="00743525"/>
    <w:rsid w:val="00747522"/>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155"/>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55F5"/>
    <w:rsid w:val="008B6FA1"/>
    <w:rsid w:val="008B7754"/>
    <w:rsid w:val="008C45C2"/>
    <w:rsid w:val="008C50F3"/>
    <w:rsid w:val="008C6302"/>
    <w:rsid w:val="008C7C22"/>
    <w:rsid w:val="008C7EFE"/>
    <w:rsid w:val="008D03B9"/>
    <w:rsid w:val="008D10F5"/>
    <w:rsid w:val="008D2D18"/>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57B01"/>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606C"/>
    <w:rsid w:val="00A174BC"/>
    <w:rsid w:val="00A318A8"/>
    <w:rsid w:val="00A50641"/>
    <w:rsid w:val="00A530BF"/>
    <w:rsid w:val="00A6177B"/>
    <w:rsid w:val="00A621C4"/>
    <w:rsid w:val="00A64BD8"/>
    <w:rsid w:val="00A66136"/>
    <w:rsid w:val="00A71189"/>
    <w:rsid w:val="00A7364A"/>
    <w:rsid w:val="00A74DCC"/>
    <w:rsid w:val="00A753ED"/>
    <w:rsid w:val="00A77512"/>
    <w:rsid w:val="00A829B1"/>
    <w:rsid w:val="00A83447"/>
    <w:rsid w:val="00A93557"/>
    <w:rsid w:val="00A94994"/>
    <w:rsid w:val="00A94C2F"/>
    <w:rsid w:val="00AA227A"/>
    <w:rsid w:val="00AA4CBB"/>
    <w:rsid w:val="00AA5B48"/>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31751"/>
    <w:rsid w:val="00B40591"/>
    <w:rsid w:val="00B5431A"/>
    <w:rsid w:val="00B61935"/>
    <w:rsid w:val="00B6270B"/>
    <w:rsid w:val="00B75EE1"/>
    <w:rsid w:val="00B77481"/>
    <w:rsid w:val="00B8518B"/>
    <w:rsid w:val="00B9572F"/>
    <w:rsid w:val="00B97CC3"/>
    <w:rsid w:val="00BA0EBA"/>
    <w:rsid w:val="00BA129E"/>
    <w:rsid w:val="00BB1D19"/>
    <w:rsid w:val="00BB79E8"/>
    <w:rsid w:val="00BC05F2"/>
    <w:rsid w:val="00BC06C4"/>
    <w:rsid w:val="00BD7E91"/>
    <w:rsid w:val="00BD7F0D"/>
    <w:rsid w:val="00BF5233"/>
    <w:rsid w:val="00C02D0A"/>
    <w:rsid w:val="00C038BD"/>
    <w:rsid w:val="00C03A6E"/>
    <w:rsid w:val="00C12C1E"/>
    <w:rsid w:val="00C14BB7"/>
    <w:rsid w:val="00C1755A"/>
    <w:rsid w:val="00C17F1C"/>
    <w:rsid w:val="00C21179"/>
    <w:rsid w:val="00C226C0"/>
    <w:rsid w:val="00C2298F"/>
    <w:rsid w:val="00C25AE7"/>
    <w:rsid w:val="00C33406"/>
    <w:rsid w:val="00C42FE6"/>
    <w:rsid w:val="00C44F6A"/>
    <w:rsid w:val="00C45177"/>
    <w:rsid w:val="00C5310E"/>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6222"/>
    <w:rsid w:val="00CC7C8F"/>
    <w:rsid w:val="00CD1FC4"/>
    <w:rsid w:val="00CE1DA0"/>
    <w:rsid w:val="00CF2351"/>
    <w:rsid w:val="00CF4255"/>
    <w:rsid w:val="00D034A0"/>
    <w:rsid w:val="00D1661F"/>
    <w:rsid w:val="00D21061"/>
    <w:rsid w:val="00D246FC"/>
    <w:rsid w:val="00D30D72"/>
    <w:rsid w:val="00D36BD5"/>
    <w:rsid w:val="00D36EA0"/>
    <w:rsid w:val="00D4108E"/>
    <w:rsid w:val="00D435C3"/>
    <w:rsid w:val="00D45E4C"/>
    <w:rsid w:val="00D54131"/>
    <w:rsid w:val="00D6163D"/>
    <w:rsid w:val="00D67241"/>
    <w:rsid w:val="00D76CEE"/>
    <w:rsid w:val="00D81A0E"/>
    <w:rsid w:val="00D831A3"/>
    <w:rsid w:val="00D90D67"/>
    <w:rsid w:val="00D975AB"/>
    <w:rsid w:val="00D97BE3"/>
    <w:rsid w:val="00DA3711"/>
    <w:rsid w:val="00DA47EF"/>
    <w:rsid w:val="00DA53DF"/>
    <w:rsid w:val="00DA68C5"/>
    <w:rsid w:val="00DB160C"/>
    <w:rsid w:val="00DC034F"/>
    <w:rsid w:val="00DC0FD9"/>
    <w:rsid w:val="00DD24AF"/>
    <w:rsid w:val="00DD46F3"/>
    <w:rsid w:val="00DE56F2"/>
    <w:rsid w:val="00DE5E00"/>
    <w:rsid w:val="00DE76DA"/>
    <w:rsid w:val="00DF116D"/>
    <w:rsid w:val="00DF70D9"/>
    <w:rsid w:val="00E06EDE"/>
    <w:rsid w:val="00E1344F"/>
    <w:rsid w:val="00E13658"/>
    <w:rsid w:val="00E16FF7"/>
    <w:rsid w:val="00E26AD9"/>
    <w:rsid w:val="00E26D68"/>
    <w:rsid w:val="00E30C41"/>
    <w:rsid w:val="00E37BAF"/>
    <w:rsid w:val="00E41EEA"/>
    <w:rsid w:val="00E44045"/>
    <w:rsid w:val="00E44BFB"/>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146E"/>
    <w:rsid w:val="00F45607"/>
    <w:rsid w:val="00F4722B"/>
    <w:rsid w:val="00F54432"/>
    <w:rsid w:val="00F56EF4"/>
    <w:rsid w:val="00F659EB"/>
    <w:rsid w:val="00F721BC"/>
    <w:rsid w:val="00F86BA6"/>
    <w:rsid w:val="00F95494"/>
    <w:rsid w:val="00F95772"/>
    <w:rsid w:val="00F95F85"/>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21C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lnab0">
    <w:name w:val="Příl_nab_0"/>
    <w:basedOn w:val="Normln"/>
    <w:link w:val="Plnab0Char"/>
    <w:qFormat/>
    <w:rsid w:val="00D76CEE"/>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D76CEE"/>
    <w:rPr>
      <w:rFonts w:ascii="Calibri" w:eastAsia="Times New Roman" w:hAnsi="Calibri" w:cs="Times New Roman"/>
      <w:sz w:val="22"/>
      <w:szCs w:val="22"/>
      <w:lang w:eastAsia="cs-CZ"/>
    </w:rPr>
  </w:style>
  <w:style w:type="paragraph" w:customStyle="1" w:styleId="Tabulka-9">
    <w:name w:val="_Tabulka-9"/>
    <w:basedOn w:val="Normln"/>
    <w:qFormat/>
    <w:rsid w:val="00621CFC"/>
    <w:pPr>
      <w:spacing w:before="40" w:after="40" w:line="240" w:lineRule="auto"/>
    </w:pPr>
    <w:rPr>
      <w:sz w:val="18"/>
      <w:szCs w:val="18"/>
    </w:rPr>
  </w:style>
  <w:style w:type="paragraph" w:customStyle="1" w:styleId="TPText-1-odrka">
    <w:name w:val="TP_Text-1_- odrážka"/>
    <w:basedOn w:val="Normln"/>
    <w:link w:val="TPText-1-odrkaChar"/>
    <w:qFormat/>
    <w:rsid w:val="00A1606C"/>
    <w:pPr>
      <w:numPr>
        <w:numId w:val="49"/>
      </w:numPr>
      <w:spacing w:before="40" w:after="0" w:line="240" w:lineRule="auto"/>
      <w:jc w:val="both"/>
    </w:pPr>
    <w:rPr>
      <w:rFonts w:ascii="Calibri" w:eastAsia="Calibri" w:hAnsi="Calibri" w:cs="Arial"/>
      <w:szCs w:val="22"/>
    </w:rPr>
  </w:style>
  <w:style w:type="character" w:customStyle="1" w:styleId="TPText-1-odrkaChar">
    <w:name w:val="TP_Text-1_- odrážka Char"/>
    <w:basedOn w:val="Standardnpsmoodstavce"/>
    <w:link w:val="TPText-1-odrka"/>
    <w:rsid w:val="00A1606C"/>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54272"/>
    <w:rsid w:val="00081C2D"/>
    <w:rsid w:val="00090F5B"/>
    <w:rsid w:val="000C5760"/>
    <w:rsid w:val="00121BDD"/>
    <w:rsid w:val="001D5893"/>
    <w:rsid w:val="00244EB6"/>
    <w:rsid w:val="00245584"/>
    <w:rsid w:val="00262B1D"/>
    <w:rsid w:val="002A3D32"/>
    <w:rsid w:val="002D6E16"/>
    <w:rsid w:val="003135E6"/>
    <w:rsid w:val="00347665"/>
    <w:rsid w:val="00391652"/>
    <w:rsid w:val="0039174C"/>
    <w:rsid w:val="003B7384"/>
    <w:rsid w:val="00546E40"/>
    <w:rsid w:val="005701B9"/>
    <w:rsid w:val="005837F8"/>
    <w:rsid w:val="006527E6"/>
    <w:rsid w:val="00676F10"/>
    <w:rsid w:val="006F4BF7"/>
    <w:rsid w:val="00714028"/>
    <w:rsid w:val="007427CD"/>
    <w:rsid w:val="00757399"/>
    <w:rsid w:val="00876B24"/>
    <w:rsid w:val="008A6541"/>
    <w:rsid w:val="0096090C"/>
    <w:rsid w:val="00960B65"/>
    <w:rsid w:val="009914FB"/>
    <w:rsid w:val="009B79D6"/>
    <w:rsid w:val="00A207DE"/>
    <w:rsid w:val="00A436CD"/>
    <w:rsid w:val="00A61422"/>
    <w:rsid w:val="00B27CD8"/>
    <w:rsid w:val="00BC6E2B"/>
    <w:rsid w:val="00CA70E8"/>
    <w:rsid w:val="00CF4DD3"/>
    <w:rsid w:val="00D12B20"/>
    <w:rsid w:val="00D34D92"/>
    <w:rsid w:val="00D36C36"/>
    <w:rsid w:val="00D7712A"/>
    <w:rsid w:val="00DD47A2"/>
    <w:rsid w:val="00DE2CA4"/>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4232588-B7F1-4394-856A-F6AF2CED6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Pages>
  <Words>3239</Words>
  <Characters>19112</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6</cp:revision>
  <cp:lastPrinted>2021-03-24T08:04:00Z</cp:lastPrinted>
  <dcterms:created xsi:type="dcterms:W3CDTF">2021-03-10T09:52:00Z</dcterms:created>
  <dcterms:modified xsi:type="dcterms:W3CDTF">2021-03-24T08:04:00Z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